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CD0" w:rsidRPr="007B0CD0" w:rsidRDefault="007B0CD0" w:rsidP="007B0CD0">
      <w:pPr>
        <w:spacing w:after="0"/>
        <w:jc w:val="center"/>
        <w:rPr>
          <w:b/>
          <w:sz w:val="32"/>
          <w:szCs w:val="28"/>
        </w:rPr>
      </w:pPr>
      <w:r w:rsidRPr="007B0CD0">
        <w:rPr>
          <w:b/>
          <w:sz w:val="32"/>
          <w:szCs w:val="28"/>
        </w:rPr>
        <w:t>PROGRAM</w:t>
      </w:r>
      <w:r w:rsidR="009E033D">
        <w:rPr>
          <w:b/>
          <w:sz w:val="32"/>
          <w:szCs w:val="28"/>
        </w:rPr>
        <w:t xml:space="preserve"> </w:t>
      </w:r>
    </w:p>
    <w:p w:rsidR="007B0CD0" w:rsidRPr="007B0CD0" w:rsidRDefault="00494A58" w:rsidP="00494A58">
      <w:pPr>
        <w:spacing w:after="0"/>
        <w:jc w:val="center"/>
        <w:rPr>
          <w:b/>
          <w:sz w:val="32"/>
          <w:szCs w:val="28"/>
        </w:rPr>
      </w:pPr>
      <w:r>
        <w:rPr>
          <w:b/>
          <w:sz w:val="32"/>
          <w:szCs w:val="28"/>
        </w:rPr>
        <w:t>Real world applications of nuclear s</w:t>
      </w:r>
      <w:r w:rsidR="007B0CD0" w:rsidRPr="007B0CD0">
        <w:rPr>
          <w:b/>
          <w:sz w:val="32"/>
          <w:szCs w:val="28"/>
        </w:rPr>
        <w:t xml:space="preserve">cience: </w:t>
      </w:r>
      <w:r>
        <w:rPr>
          <w:b/>
          <w:sz w:val="32"/>
          <w:szCs w:val="28"/>
        </w:rPr>
        <w:t>Nuclear m</w:t>
      </w:r>
      <w:r w:rsidR="00F047C2">
        <w:rPr>
          <w:b/>
          <w:sz w:val="32"/>
          <w:szCs w:val="28"/>
        </w:rPr>
        <w:t>edicine</w:t>
      </w:r>
    </w:p>
    <w:p w:rsidR="007B0CD0" w:rsidRPr="007B0CD0" w:rsidRDefault="00494A58" w:rsidP="007B0CD0">
      <w:pPr>
        <w:spacing w:after="0" w:line="240" w:lineRule="auto"/>
        <w:jc w:val="center"/>
        <w:rPr>
          <w:b/>
          <w:sz w:val="32"/>
          <w:szCs w:val="28"/>
        </w:rPr>
      </w:pPr>
      <w:r>
        <w:rPr>
          <w:b/>
          <w:sz w:val="32"/>
          <w:szCs w:val="28"/>
        </w:rPr>
        <w:t>Science teacher professional d</w:t>
      </w:r>
      <w:r w:rsidR="007B0CD0" w:rsidRPr="007B0CD0">
        <w:rPr>
          <w:b/>
          <w:sz w:val="32"/>
          <w:szCs w:val="28"/>
        </w:rPr>
        <w:t xml:space="preserve">evelopment </w:t>
      </w:r>
      <w:r>
        <w:rPr>
          <w:b/>
          <w:sz w:val="32"/>
          <w:szCs w:val="28"/>
        </w:rPr>
        <w:t>s</w:t>
      </w:r>
      <w:r w:rsidR="007B0CD0">
        <w:rPr>
          <w:b/>
          <w:sz w:val="32"/>
          <w:szCs w:val="28"/>
        </w:rPr>
        <w:t xml:space="preserve">ession </w:t>
      </w:r>
      <w:r w:rsidR="00F047C2">
        <w:rPr>
          <w:b/>
          <w:sz w:val="32"/>
          <w:szCs w:val="28"/>
        </w:rPr>
        <w:t>3</w:t>
      </w:r>
    </w:p>
    <w:p w:rsidR="005B515F" w:rsidRPr="007B0CD0" w:rsidRDefault="00F047C2" w:rsidP="007B0CD0">
      <w:pPr>
        <w:jc w:val="center"/>
        <w:rPr>
          <w:b/>
          <w:sz w:val="32"/>
          <w:szCs w:val="28"/>
        </w:rPr>
      </w:pPr>
      <w:r>
        <w:rPr>
          <w:b/>
          <w:sz w:val="32"/>
          <w:szCs w:val="28"/>
        </w:rPr>
        <w:t xml:space="preserve">Wednesday </w:t>
      </w:r>
      <w:r w:rsidR="0029189C">
        <w:rPr>
          <w:b/>
          <w:sz w:val="32"/>
          <w:szCs w:val="28"/>
        </w:rPr>
        <w:t>2</w:t>
      </w:r>
      <w:r>
        <w:rPr>
          <w:b/>
          <w:sz w:val="32"/>
          <w:szCs w:val="28"/>
        </w:rPr>
        <w:t>8</w:t>
      </w:r>
      <w:r w:rsidR="007B0CD0" w:rsidRPr="007B0CD0">
        <w:rPr>
          <w:b/>
          <w:sz w:val="32"/>
          <w:szCs w:val="28"/>
        </w:rPr>
        <w:t xml:space="preserve"> October, 2020</w:t>
      </w:r>
    </w:p>
    <w:tbl>
      <w:tblPr>
        <w:tblStyle w:val="TableGrid"/>
        <w:tblW w:w="9889" w:type="dxa"/>
        <w:tblInd w:w="-25" w:type="dxa"/>
        <w:tblCellMar>
          <w:left w:w="83" w:type="dxa"/>
        </w:tblCellMar>
        <w:tblLook w:val="04A0" w:firstRow="1" w:lastRow="0" w:firstColumn="1" w:lastColumn="0" w:noHBand="0" w:noVBand="1"/>
      </w:tblPr>
      <w:tblGrid>
        <w:gridCol w:w="3224"/>
        <w:gridCol w:w="6665"/>
      </w:tblGrid>
      <w:tr w:rsidR="007B0CD0" w:rsidTr="00040993">
        <w:tc>
          <w:tcPr>
            <w:tcW w:w="3224" w:type="dxa"/>
            <w:shd w:val="clear" w:color="auto" w:fill="D9D9D9" w:themeFill="background1" w:themeFillShade="D9"/>
            <w:tcMar>
              <w:left w:w="83" w:type="dxa"/>
            </w:tcMar>
          </w:tcPr>
          <w:p w:rsidR="007B0CD0" w:rsidRDefault="007B0CD0" w:rsidP="000E7323">
            <w:pPr>
              <w:spacing w:after="0" w:line="240" w:lineRule="auto"/>
            </w:pPr>
            <w:r>
              <w:rPr>
                <w:b/>
                <w:sz w:val="21"/>
                <w:szCs w:val="21"/>
              </w:rPr>
              <w:t xml:space="preserve">Time </w:t>
            </w:r>
          </w:p>
        </w:tc>
        <w:tc>
          <w:tcPr>
            <w:tcW w:w="6665" w:type="dxa"/>
            <w:shd w:val="clear" w:color="auto" w:fill="D9D9D9" w:themeFill="background1" w:themeFillShade="D9"/>
            <w:tcMar>
              <w:left w:w="83" w:type="dxa"/>
            </w:tcMar>
          </w:tcPr>
          <w:p w:rsidR="007B0CD0" w:rsidRDefault="007B0CD0" w:rsidP="000E7323">
            <w:pPr>
              <w:spacing w:after="0" w:line="240" w:lineRule="auto"/>
              <w:rPr>
                <w:b/>
                <w:sz w:val="21"/>
                <w:szCs w:val="21"/>
              </w:rPr>
            </w:pPr>
            <w:r>
              <w:rPr>
                <w:b/>
                <w:sz w:val="21"/>
                <w:szCs w:val="21"/>
              </w:rPr>
              <w:t>Details</w:t>
            </w:r>
          </w:p>
        </w:tc>
      </w:tr>
      <w:tr w:rsidR="007B0CD0" w:rsidTr="00040993">
        <w:trPr>
          <w:trHeight w:val="415"/>
        </w:trPr>
        <w:tc>
          <w:tcPr>
            <w:tcW w:w="3224"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4.00pm – 4.05pm</w:t>
            </w:r>
          </w:p>
        </w:tc>
        <w:tc>
          <w:tcPr>
            <w:tcW w:w="6665"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Official welcome and introductions</w:t>
            </w:r>
          </w:p>
        </w:tc>
      </w:tr>
      <w:tr w:rsidR="007B0CD0" w:rsidTr="00040993">
        <w:trPr>
          <w:trHeight w:val="316"/>
        </w:trPr>
        <w:tc>
          <w:tcPr>
            <w:tcW w:w="3224" w:type="dxa"/>
            <w:shd w:val="clear" w:color="auto" w:fill="F2F2F2" w:themeFill="background1" w:themeFillShade="F2"/>
            <w:tcMar>
              <w:left w:w="83" w:type="dxa"/>
            </w:tcMar>
            <w:vAlign w:val="center"/>
          </w:tcPr>
          <w:p w:rsidR="007B0CD0" w:rsidRDefault="007B0CD0" w:rsidP="000E7323">
            <w:pPr>
              <w:spacing w:after="0" w:line="240" w:lineRule="auto"/>
            </w:pPr>
            <w:r>
              <w:rPr>
                <w:sz w:val="21"/>
                <w:szCs w:val="21"/>
              </w:rPr>
              <w:t>4.05pm – 4.15pm</w:t>
            </w:r>
          </w:p>
        </w:tc>
        <w:tc>
          <w:tcPr>
            <w:tcW w:w="6665" w:type="dxa"/>
            <w:shd w:val="clear" w:color="auto" w:fill="F2F2F2" w:themeFill="background1" w:themeFillShade="F2"/>
            <w:tcMar>
              <w:left w:w="83" w:type="dxa"/>
            </w:tcMar>
            <w:vAlign w:val="center"/>
          </w:tcPr>
          <w:p w:rsidR="007B0CD0" w:rsidRDefault="007B0CD0" w:rsidP="00CD28DE">
            <w:pPr>
              <w:spacing w:after="0" w:line="240" w:lineRule="auto"/>
              <w:rPr>
                <w:sz w:val="21"/>
                <w:szCs w:val="21"/>
              </w:rPr>
            </w:pPr>
            <w:r>
              <w:rPr>
                <w:sz w:val="21"/>
                <w:szCs w:val="21"/>
              </w:rPr>
              <w:t xml:space="preserve">Presentation 1: </w:t>
            </w:r>
            <w:r w:rsidR="00CD28DE">
              <w:rPr>
                <w:sz w:val="21"/>
                <w:szCs w:val="21"/>
              </w:rPr>
              <w:t>‘</w:t>
            </w:r>
            <w:r>
              <w:rPr>
                <w:sz w:val="21"/>
                <w:szCs w:val="21"/>
              </w:rPr>
              <w:t xml:space="preserve">Real </w:t>
            </w:r>
            <w:r w:rsidR="00CD28DE">
              <w:rPr>
                <w:sz w:val="21"/>
                <w:szCs w:val="21"/>
              </w:rPr>
              <w:t>world applications of n</w:t>
            </w:r>
            <w:r>
              <w:rPr>
                <w:sz w:val="21"/>
                <w:szCs w:val="21"/>
              </w:rPr>
              <w:t xml:space="preserve">uclear </w:t>
            </w:r>
            <w:r w:rsidR="00CD28DE">
              <w:rPr>
                <w:sz w:val="21"/>
                <w:szCs w:val="21"/>
              </w:rPr>
              <w:t>s</w:t>
            </w:r>
            <w:r>
              <w:rPr>
                <w:sz w:val="21"/>
                <w:szCs w:val="21"/>
              </w:rPr>
              <w:t>cience: Develop your own lesson</w:t>
            </w:r>
            <w:r w:rsidR="00CD28DE">
              <w:rPr>
                <w:sz w:val="21"/>
                <w:szCs w:val="21"/>
              </w:rPr>
              <w:t>’</w:t>
            </w:r>
            <w:r>
              <w:rPr>
                <w:sz w:val="21"/>
                <w:szCs w:val="21"/>
              </w:rPr>
              <w:t xml:space="preserve"> </w:t>
            </w:r>
            <w:r w:rsidR="00CD28DE">
              <w:rPr>
                <w:sz w:val="21"/>
                <w:szCs w:val="21"/>
              </w:rPr>
              <w:t>course introduction</w:t>
            </w:r>
          </w:p>
        </w:tc>
      </w:tr>
      <w:tr w:rsidR="00CD28DE" w:rsidTr="00040993">
        <w:tc>
          <w:tcPr>
            <w:tcW w:w="3224" w:type="dxa"/>
            <w:shd w:val="clear" w:color="auto" w:fill="auto"/>
            <w:tcMar>
              <w:left w:w="83" w:type="dxa"/>
            </w:tcMar>
            <w:vAlign w:val="center"/>
          </w:tcPr>
          <w:p w:rsidR="00CD28DE" w:rsidRDefault="00CD28DE" w:rsidP="00CD28DE">
            <w:pPr>
              <w:spacing w:after="0" w:line="240" w:lineRule="auto"/>
              <w:rPr>
                <w:color w:val="FF0000"/>
                <w:sz w:val="21"/>
                <w:szCs w:val="21"/>
              </w:rPr>
            </w:pPr>
          </w:p>
        </w:tc>
        <w:tc>
          <w:tcPr>
            <w:tcW w:w="6665" w:type="dxa"/>
            <w:shd w:val="clear" w:color="auto" w:fill="auto"/>
            <w:tcMar>
              <w:left w:w="83" w:type="dxa"/>
            </w:tcMar>
            <w:vAlign w:val="center"/>
          </w:tcPr>
          <w:p w:rsidR="00CD28DE" w:rsidRPr="00166450" w:rsidRDefault="00CD28DE" w:rsidP="00CD28DE">
            <w:pPr>
              <w:spacing w:after="0" w:line="240" w:lineRule="auto"/>
              <w:rPr>
                <w:sz w:val="21"/>
                <w:szCs w:val="21"/>
              </w:rPr>
            </w:pPr>
            <w:r w:rsidRPr="00166450">
              <w:rPr>
                <w:sz w:val="21"/>
                <w:szCs w:val="21"/>
              </w:rPr>
              <w:t xml:space="preserve">Speakers: Bridget Murphy and Tina </w:t>
            </w:r>
            <w:proofErr w:type="spellStart"/>
            <w:r w:rsidRPr="00166450">
              <w:rPr>
                <w:sz w:val="21"/>
                <w:szCs w:val="21"/>
              </w:rPr>
              <w:t>Baradaran</w:t>
            </w:r>
            <w:proofErr w:type="spellEnd"/>
            <w:r w:rsidRPr="00166450">
              <w:rPr>
                <w:sz w:val="21"/>
                <w:szCs w:val="21"/>
              </w:rPr>
              <w:t xml:space="preserve">, ANSTO Discovery Centre </w:t>
            </w:r>
          </w:p>
        </w:tc>
      </w:tr>
      <w:tr w:rsidR="00CD28DE" w:rsidTr="00040993">
        <w:tc>
          <w:tcPr>
            <w:tcW w:w="3224" w:type="dxa"/>
            <w:shd w:val="clear" w:color="auto" w:fill="F2F2F2" w:themeFill="background1" w:themeFillShade="F2"/>
            <w:tcMar>
              <w:left w:w="83" w:type="dxa"/>
            </w:tcMar>
            <w:vAlign w:val="center"/>
          </w:tcPr>
          <w:p w:rsidR="00CD28DE" w:rsidRDefault="00CD28DE" w:rsidP="00CD28DE">
            <w:pPr>
              <w:spacing w:after="0" w:line="240" w:lineRule="auto"/>
            </w:pPr>
            <w:r>
              <w:rPr>
                <w:sz w:val="21"/>
                <w:szCs w:val="21"/>
              </w:rPr>
              <w:t>4.15pm – 4.25pm</w:t>
            </w:r>
          </w:p>
        </w:tc>
        <w:tc>
          <w:tcPr>
            <w:tcW w:w="6665" w:type="dxa"/>
            <w:shd w:val="clear" w:color="auto" w:fill="F2F2F2" w:themeFill="background1" w:themeFillShade="F2"/>
            <w:tcMar>
              <w:left w:w="83" w:type="dxa"/>
            </w:tcMar>
            <w:vAlign w:val="center"/>
          </w:tcPr>
          <w:p w:rsidR="00CD28DE" w:rsidRDefault="00CD28DE" w:rsidP="00CD28DE">
            <w:pPr>
              <w:spacing w:after="0" w:line="240" w:lineRule="auto"/>
            </w:pPr>
            <w:r>
              <w:rPr>
                <w:sz w:val="21"/>
                <w:szCs w:val="21"/>
              </w:rPr>
              <w:t xml:space="preserve">Presentation 2: Introduction to nuclear medicine and radiopharmaceuticals at ANSTO </w:t>
            </w:r>
          </w:p>
        </w:tc>
      </w:tr>
      <w:tr w:rsidR="00CD28DE" w:rsidTr="00040993">
        <w:trPr>
          <w:trHeight w:val="370"/>
        </w:trPr>
        <w:tc>
          <w:tcPr>
            <w:tcW w:w="3224" w:type="dxa"/>
            <w:shd w:val="clear" w:color="auto" w:fill="auto"/>
            <w:tcMar>
              <w:left w:w="83" w:type="dxa"/>
            </w:tcMar>
            <w:vAlign w:val="center"/>
          </w:tcPr>
          <w:p w:rsidR="00CD28DE" w:rsidRDefault="00CD28DE" w:rsidP="00CD28DE">
            <w:pPr>
              <w:spacing w:after="0" w:line="240" w:lineRule="auto"/>
              <w:rPr>
                <w:sz w:val="21"/>
                <w:szCs w:val="21"/>
              </w:rPr>
            </w:pPr>
          </w:p>
        </w:tc>
        <w:tc>
          <w:tcPr>
            <w:tcW w:w="6665" w:type="dxa"/>
            <w:shd w:val="clear" w:color="auto" w:fill="auto"/>
            <w:tcMar>
              <w:left w:w="83" w:type="dxa"/>
            </w:tcMar>
            <w:vAlign w:val="center"/>
          </w:tcPr>
          <w:p w:rsidR="00CD28DE" w:rsidRPr="009E033D" w:rsidRDefault="00CD28DE" w:rsidP="00CD28DE">
            <w:pPr>
              <w:spacing w:after="0" w:line="240" w:lineRule="auto"/>
              <w:rPr>
                <w:sz w:val="21"/>
                <w:szCs w:val="21"/>
              </w:rPr>
            </w:pPr>
            <w:r>
              <w:rPr>
                <w:sz w:val="21"/>
                <w:szCs w:val="21"/>
              </w:rPr>
              <w:t xml:space="preserve">Presented by: Associate Professor Benjamin Fraser, Research Program Manager, Human Health Research Theme, ANSTO </w:t>
            </w:r>
          </w:p>
          <w:p w:rsidR="00CD28DE" w:rsidRDefault="00CD28DE" w:rsidP="00CD28DE">
            <w:pPr>
              <w:spacing w:after="0" w:line="240" w:lineRule="auto"/>
              <w:rPr>
                <w:i/>
                <w:iCs/>
                <w:sz w:val="21"/>
                <w:szCs w:val="21"/>
                <w:highlight w:val="yellow"/>
              </w:rPr>
            </w:pPr>
          </w:p>
        </w:tc>
      </w:tr>
      <w:tr w:rsidR="00CD28DE" w:rsidTr="00040993">
        <w:tc>
          <w:tcPr>
            <w:tcW w:w="3224" w:type="dxa"/>
            <w:shd w:val="clear" w:color="auto" w:fill="F2F2F2" w:themeFill="background1" w:themeFillShade="F2"/>
            <w:tcMar>
              <w:left w:w="83" w:type="dxa"/>
            </w:tcMar>
            <w:vAlign w:val="center"/>
          </w:tcPr>
          <w:p w:rsidR="00CD28DE" w:rsidRDefault="00CD28DE" w:rsidP="00CD28DE">
            <w:pPr>
              <w:spacing w:after="0" w:line="240" w:lineRule="auto"/>
            </w:pPr>
            <w:r>
              <w:rPr>
                <w:sz w:val="21"/>
                <w:szCs w:val="21"/>
              </w:rPr>
              <w:t>4.25pm – 4.35pm</w:t>
            </w:r>
          </w:p>
        </w:tc>
        <w:tc>
          <w:tcPr>
            <w:tcW w:w="6665" w:type="dxa"/>
            <w:shd w:val="clear" w:color="auto" w:fill="F2F2F2" w:themeFill="background1" w:themeFillShade="F2"/>
            <w:tcMar>
              <w:left w:w="83" w:type="dxa"/>
            </w:tcMar>
            <w:vAlign w:val="center"/>
          </w:tcPr>
          <w:p w:rsidR="00CD28DE" w:rsidRDefault="00CD28DE" w:rsidP="00CD28DE">
            <w:pPr>
              <w:spacing w:after="0" w:line="240" w:lineRule="auto"/>
            </w:pPr>
            <w:r>
              <w:rPr>
                <w:sz w:val="21"/>
                <w:szCs w:val="21"/>
              </w:rPr>
              <w:t>Presentation 3: Radioisotope development for medical a</w:t>
            </w:r>
            <w:r w:rsidRPr="00121D44">
              <w:rPr>
                <w:sz w:val="21"/>
                <w:szCs w:val="21"/>
              </w:rPr>
              <w:t>pplications</w:t>
            </w:r>
            <w:r>
              <w:rPr>
                <w:sz w:val="21"/>
                <w:szCs w:val="21"/>
              </w:rPr>
              <w:t xml:space="preserve"> </w:t>
            </w:r>
          </w:p>
        </w:tc>
      </w:tr>
      <w:tr w:rsidR="00CD28DE" w:rsidTr="00040993">
        <w:trPr>
          <w:trHeight w:val="565"/>
        </w:trPr>
        <w:tc>
          <w:tcPr>
            <w:tcW w:w="3224" w:type="dxa"/>
            <w:shd w:val="clear" w:color="auto" w:fill="auto"/>
            <w:tcMar>
              <w:left w:w="83" w:type="dxa"/>
            </w:tcMar>
            <w:vAlign w:val="center"/>
          </w:tcPr>
          <w:p w:rsidR="00CD28DE" w:rsidRDefault="00CD28DE" w:rsidP="00CD28DE">
            <w:pPr>
              <w:spacing w:after="0" w:line="240" w:lineRule="auto"/>
              <w:rPr>
                <w:sz w:val="21"/>
                <w:szCs w:val="21"/>
              </w:rPr>
            </w:pPr>
          </w:p>
        </w:tc>
        <w:tc>
          <w:tcPr>
            <w:tcW w:w="6665" w:type="dxa"/>
            <w:shd w:val="clear" w:color="auto" w:fill="auto"/>
            <w:tcMar>
              <w:left w:w="83" w:type="dxa"/>
            </w:tcMar>
            <w:vAlign w:val="center"/>
          </w:tcPr>
          <w:p w:rsidR="00CD28DE" w:rsidRDefault="00CD28DE" w:rsidP="00CD28DE">
            <w:pPr>
              <w:spacing w:after="0" w:line="240" w:lineRule="auto"/>
              <w:rPr>
                <w:i/>
                <w:iCs/>
                <w:sz w:val="21"/>
                <w:szCs w:val="21"/>
                <w:highlight w:val="yellow"/>
              </w:rPr>
            </w:pPr>
            <w:r>
              <w:rPr>
                <w:sz w:val="21"/>
                <w:szCs w:val="21"/>
              </w:rPr>
              <w:t>Presented by: Leena Hogan,</w:t>
            </w:r>
            <w:r w:rsidRPr="00F047C2">
              <w:rPr>
                <w:rFonts w:ascii="Calibri" w:eastAsia="Calibri" w:hAnsi="Calibri" w:cs="Calibri"/>
                <w:sz w:val="22"/>
              </w:rPr>
              <w:t xml:space="preserve"> </w:t>
            </w:r>
            <w:r w:rsidRPr="00F047C2">
              <w:rPr>
                <w:sz w:val="21"/>
                <w:szCs w:val="21"/>
              </w:rPr>
              <w:t>Radioisotopes and Irradiations Manager</w:t>
            </w:r>
            <w:r>
              <w:rPr>
                <w:sz w:val="21"/>
                <w:szCs w:val="21"/>
              </w:rPr>
              <w:t>,      ANSTO</w:t>
            </w:r>
          </w:p>
        </w:tc>
      </w:tr>
      <w:tr w:rsidR="00CD28DE" w:rsidTr="00040993">
        <w:tc>
          <w:tcPr>
            <w:tcW w:w="3224" w:type="dxa"/>
            <w:shd w:val="clear" w:color="auto" w:fill="F2F2F2" w:themeFill="background1" w:themeFillShade="F2"/>
            <w:tcMar>
              <w:left w:w="83" w:type="dxa"/>
            </w:tcMar>
            <w:vAlign w:val="center"/>
          </w:tcPr>
          <w:p w:rsidR="00CD28DE" w:rsidRDefault="00CD28DE" w:rsidP="00CD28DE">
            <w:pPr>
              <w:spacing w:after="0" w:line="240" w:lineRule="auto"/>
            </w:pPr>
            <w:r>
              <w:rPr>
                <w:sz w:val="21"/>
                <w:szCs w:val="21"/>
              </w:rPr>
              <w:t>4.35pm – 4.45pm</w:t>
            </w:r>
          </w:p>
        </w:tc>
        <w:tc>
          <w:tcPr>
            <w:tcW w:w="6665" w:type="dxa"/>
            <w:shd w:val="clear" w:color="auto" w:fill="F2F2F2" w:themeFill="background1" w:themeFillShade="F2"/>
            <w:tcMar>
              <w:left w:w="83" w:type="dxa"/>
            </w:tcMar>
            <w:vAlign w:val="center"/>
          </w:tcPr>
          <w:p w:rsidR="00CD28DE" w:rsidRDefault="00CD28DE" w:rsidP="00CD28DE">
            <w:pPr>
              <w:spacing w:after="0" w:line="240" w:lineRule="auto"/>
            </w:pPr>
            <w:r>
              <w:rPr>
                <w:sz w:val="21"/>
                <w:szCs w:val="21"/>
              </w:rPr>
              <w:t xml:space="preserve">Presentation 4: Australian innovation in nuclear medicine   </w:t>
            </w:r>
          </w:p>
        </w:tc>
      </w:tr>
      <w:tr w:rsidR="00CD28DE" w:rsidTr="00040993">
        <w:trPr>
          <w:trHeight w:val="464"/>
        </w:trPr>
        <w:tc>
          <w:tcPr>
            <w:tcW w:w="3224" w:type="dxa"/>
            <w:shd w:val="clear" w:color="auto" w:fill="auto"/>
            <w:tcMar>
              <w:left w:w="83" w:type="dxa"/>
            </w:tcMar>
            <w:vAlign w:val="center"/>
          </w:tcPr>
          <w:p w:rsidR="00CD28DE" w:rsidRDefault="00CD28DE" w:rsidP="00CD28DE">
            <w:pPr>
              <w:spacing w:after="0" w:line="240" w:lineRule="auto"/>
              <w:rPr>
                <w:sz w:val="21"/>
                <w:szCs w:val="21"/>
              </w:rPr>
            </w:pPr>
          </w:p>
        </w:tc>
        <w:tc>
          <w:tcPr>
            <w:tcW w:w="6665" w:type="dxa"/>
            <w:shd w:val="clear" w:color="auto" w:fill="auto"/>
            <w:tcMar>
              <w:left w:w="83" w:type="dxa"/>
            </w:tcMar>
            <w:vAlign w:val="center"/>
          </w:tcPr>
          <w:p w:rsidR="00CD28DE" w:rsidRDefault="00CD28DE" w:rsidP="00CD28DE">
            <w:pPr>
              <w:spacing w:after="0" w:line="240" w:lineRule="auto"/>
            </w:pPr>
            <w:r>
              <w:rPr>
                <w:sz w:val="21"/>
                <w:szCs w:val="21"/>
              </w:rPr>
              <w:t xml:space="preserve">Presented by: Dr Nigel </w:t>
            </w:r>
            <w:proofErr w:type="spellStart"/>
            <w:r>
              <w:rPr>
                <w:sz w:val="21"/>
                <w:szCs w:val="21"/>
              </w:rPr>
              <w:t>Lengkeek</w:t>
            </w:r>
            <w:proofErr w:type="spellEnd"/>
            <w:r>
              <w:rPr>
                <w:sz w:val="21"/>
                <w:szCs w:val="21"/>
              </w:rPr>
              <w:t xml:space="preserve">, </w:t>
            </w:r>
            <w:proofErr w:type="spellStart"/>
            <w:r w:rsidRPr="00121D44">
              <w:rPr>
                <w:sz w:val="21"/>
                <w:szCs w:val="21"/>
              </w:rPr>
              <w:t>Radiometals</w:t>
            </w:r>
            <w:proofErr w:type="spellEnd"/>
            <w:r w:rsidRPr="00121D44">
              <w:rPr>
                <w:sz w:val="21"/>
                <w:szCs w:val="21"/>
              </w:rPr>
              <w:t xml:space="preserve"> Specialist</w:t>
            </w:r>
            <w:r>
              <w:rPr>
                <w:sz w:val="21"/>
                <w:szCs w:val="21"/>
              </w:rPr>
              <w:t>, ANSTO</w:t>
            </w:r>
          </w:p>
          <w:p w:rsidR="00CD28DE" w:rsidRDefault="00CD28DE" w:rsidP="00CD28DE">
            <w:pPr>
              <w:spacing w:after="0" w:line="240" w:lineRule="auto"/>
              <w:rPr>
                <w:i/>
                <w:iCs/>
                <w:sz w:val="21"/>
                <w:szCs w:val="21"/>
                <w:highlight w:val="yellow"/>
              </w:rPr>
            </w:pPr>
          </w:p>
        </w:tc>
      </w:tr>
      <w:tr w:rsidR="00CD28DE" w:rsidTr="00C84B01">
        <w:trPr>
          <w:trHeight w:val="301"/>
        </w:trPr>
        <w:tc>
          <w:tcPr>
            <w:tcW w:w="3224" w:type="dxa"/>
            <w:shd w:val="clear" w:color="auto" w:fill="F2F2F2" w:themeFill="background1" w:themeFillShade="F2"/>
            <w:tcMar>
              <w:left w:w="83" w:type="dxa"/>
            </w:tcMar>
            <w:vAlign w:val="center"/>
          </w:tcPr>
          <w:p w:rsidR="00CD28DE" w:rsidRDefault="00CD28DE" w:rsidP="00CD28DE">
            <w:pPr>
              <w:spacing w:after="0" w:line="240" w:lineRule="auto"/>
            </w:pPr>
            <w:r>
              <w:rPr>
                <w:sz w:val="21"/>
                <w:szCs w:val="21"/>
              </w:rPr>
              <w:t>4.45pm – 5.00pm</w:t>
            </w:r>
          </w:p>
        </w:tc>
        <w:tc>
          <w:tcPr>
            <w:tcW w:w="6665" w:type="dxa"/>
            <w:shd w:val="clear" w:color="auto" w:fill="F2F2F2" w:themeFill="background1" w:themeFillShade="F2"/>
            <w:tcMar>
              <w:left w:w="83" w:type="dxa"/>
            </w:tcMar>
            <w:vAlign w:val="center"/>
          </w:tcPr>
          <w:p w:rsidR="00CD28DE" w:rsidRDefault="00CD28DE" w:rsidP="00CD28DE">
            <w:pPr>
              <w:spacing w:after="0" w:line="240" w:lineRule="auto"/>
            </w:pPr>
            <w:r>
              <w:rPr>
                <w:sz w:val="21"/>
                <w:szCs w:val="21"/>
              </w:rPr>
              <w:t>Question and answer session</w:t>
            </w:r>
          </w:p>
        </w:tc>
      </w:tr>
      <w:tr w:rsidR="00CD28DE" w:rsidTr="00C84B01">
        <w:trPr>
          <w:trHeight w:val="463"/>
        </w:trPr>
        <w:tc>
          <w:tcPr>
            <w:tcW w:w="3224" w:type="dxa"/>
            <w:shd w:val="clear" w:color="auto" w:fill="auto"/>
            <w:tcMar>
              <w:left w:w="83" w:type="dxa"/>
            </w:tcMar>
            <w:vAlign w:val="center"/>
          </w:tcPr>
          <w:p w:rsidR="00CD28DE" w:rsidRDefault="00CD28DE" w:rsidP="00CD28DE">
            <w:pPr>
              <w:spacing w:after="0" w:line="240" w:lineRule="auto"/>
              <w:rPr>
                <w:sz w:val="21"/>
                <w:szCs w:val="21"/>
              </w:rPr>
            </w:pPr>
          </w:p>
        </w:tc>
        <w:tc>
          <w:tcPr>
            <w:tcW w:w="6665" w:type="dxa"/>
            <w:shd w:val="clear" w:color="auto" w:fill="auto"/>
            <w:tcMar>
              <w:left w:w="83" w:type="dxa"/>
            </w:tcMar>
            <w:vAlign w:val="center"/>
          </w:tcPr>
          <w:p w:rsidR="00CD28DE" w:rsidRDefault="00CD28DE" w:rsidP="00CD28DE">
            <w:pPr>
              <w:spacing w:after="0" w:line="240" w:lineRule="auto"/>
              <w:rPr>
                <w:i/>
                <w:sz w:val="21"/>
                <w:szCs w:val="21"/>
                <w:highlight w:val="yellow"/>
              </w:rPr>
            </w:pPr>
            <w:r>
              <w:rPr>
                <w:sz w:val="21"/>
                <w:szCs w:val="21"/>
              </w:rPr>
              <w:t xml:space="preserve">Chaired by:  ANSTO. </w:t>
            </w:r>
          </w:p>
        </w:tc>
      </w:tr>
      <w:tr w:rsidR="00CD28DE" w:rsidTr="00040993">
        <w:tc>
          <w:tcPr>
            <w:tcW w:w="3224" w:type="dxa"/>
            <w:shd w:val="clear" w:color="auto" w:fill="9CC2E5" w:themeFill="accent1" w:themeFillTint="99"/>
            <w:tcMar>
              <w:left w:w="83" w:type="dxa"/>
            </w:tcMar>
            <w:vAlign w:val="center"/>
          </w:tcPr>
          <w:p w:rsidR="00CD28DE" w:rsidRDefault="00CD28DE" w:rsidP="00CD28DE">
            <w:pPr>
              <w:spacing w:after="0" w:line="240" w:lineRule="auto"/>
            </w:pPr>
            <w:r>
              <w:rPr>
                <w:sz w:val="21"/>
                <w:szCs w:val="21"/>
              </w:rPr>
              <w:t>5.05pm – 5.10pm</w:t>
            </w:r>
          </w:p>
        </w:tc>
        <w:tc>
          <w:tcPr>
            <w:tcW w:w="6665" w:type="dxa"/>
            <w:shd w:val="clear" w:color="auto" w:fill="9CC2E5" w:themeFill="accent1" w:themeFillTint="99"/>
            <w:tcMar>
              <w:left w:w="83" w:type="dxa"/>
            </w:tcMar>
            <w:vAlign w:val="center"/>
          </w:tcPr>
          <w:p w:rsidR="00CD28DE" w:rsidRDefault="00FC4251" w:rsidP="00CD28DE">
            <w:pPr>
              <w:spacing w:after="0" w:line="240" w:lineRule="auto"/>
            </w:pPr>
            <w:r>
              <w:rPr>
                <w:sz w:val="21"/>
                <w:szCs w:val="21"/>
              </w:rPr>
              <w:t>Refresh b</w:t>
            </w:r>
            <w:r w:rsidR="00CD28DE">
              <w:rPr>
                <w:sz w:val="21"/>
                <w:szCs w:val="21"/>
              </w:rPr>
              <w:t>reak</w:t>
            </w:r>
          </w:p>
        </w:tc>
      </w:tr>
      <w:tr w:rsidR="00CD28DE" w:rsidTr="00C84B01">
        <w:trPr>
          <w:trHeight w:val="471"/>
        </w:trPr>
        <w:tc>
          <w:tcPr>
            <w:tcW w:w="3224" w:type="dxa"/>
            <w:shd w:val="clear" w:color="auto" w:fill="F2F2F2" w:themeFill="background1" w:themeFillShade="F2"/>
            <w:tcMar>
              <w:left w:w="83" w:type="dxa"/>
            </w:tcMar>
            <w:vAlign w:val="center"/>
          </w:tcPr>
          <w:p w:rsidR="00CD28DE" w:rsidRDefault="00CD28DE" w:rsidP="00CD28DE">
            <w:pPr>
              <w:spacing w:after="0" w:line="240" w:lineRule="auto"/>
              <w:rPr>
                <w:sz w:val="21"/>
                <w:szCs w:val="21"/>
              </w:rPr>
            </w:pPr>
            <w:r>
              <w:rPr>
                <w:sz w:val="21"/>
                <w:szCs w:val="21"/>
              </w:rPr>
              <w:t>5.10pm – 5.25pm</w:t>
            </w:r>
          </w:p>
        </w:tc>
        <w:tc>
          <w:tcPr>
            <w:tcW w:w="6665" w:type="dxa"/>
            <w:shd w:val="clear" w:color="auto" w:fill="F2F2F2" w:themeFill="background1" w:themeFillShade="F2"/>
            <w:tcMar>
              <w:left w:w="83" w:type="dxa"/>
            </w:tcMar>
            <w:vAlign w:val="center"/>
          </w:tcPr>
          <w:p w:rsidR="00CD28DE" w:rsidRDefault="00FC4251" w:rsidP="00CD28DE">
            <w:pPr>
              <w:spacing w:after="0" w:line="240" w:lineRule="auto"/>
            </w:pPr>
            <w:r>
              <w:rPr>
                <w:sz w:val="21"/>
                <w:szCs w:val="21"/>
              </w:rPr>
              <w:t>Teaching nuclear medicines in the classroom</w:t>
            </w:r>
          </w:p>
        </w:tc>
      </w:tr>
      <w:tr w:rsidR="00FC4251" w:rsidTr="00C84B01">
        <w:tc>
          <w:tcPr>
            <w:tcW w:w="3224" w:type="dxa"/>
            <w:shd w:val="clear" w:color="auto" w:fill="auto"/>
            <w:tcMar>
              <w:left w:w="83" w:type="dxa"/>
            </w:tcMar>
            <w:vAlign w:val="center"/>
          </w:tcPr>
          <w:p w:rsidR="00FC4251" w:rsidRDefault="00FC4251" w:rsidP="00FC4251">
            <w:pPr>
              <w:spacing w:after="0" w:line="240" w:lineRule="auto"/>
              <w:rPr>
                <w:sz w:val="21"/>
                <w:szCs w:val="21"/>
              </w:rPr>
            </w:pPr>
          </w:p>
        </w:tc>
        <w:tc>
          <w:tcPr>
            <w:tcW w:w="6665" w:type="dxa"/>
            <w:shd w:val="clear" w:color="auto" w:fill="auto"/>
            <w:tcMar>
              <w:left w:w="83" w:type="dxa"/>
            </w:tcMar>
            <w:vAlign w:val="center"/>
          </w:tcPr>
          <w:p w:rsidR="00FC4251" w:rsidRDefault="00FC4251" w:rsidP="00FC4251">
            <w:pPr>
              <w:spacing w:after="0" w:line="240" w:lineRule="auto"/>
              <w:rPr>
                <w:sz w:val="21"/>
                <w:szCs w:val="21"/>
              </w:rPr>
            </w:pPr>
            <w:r>
              <w:rPr>
                <w:sz w:val="21"/>
                <w:szCs w:val="21"/>
              </w:rPr>
              <w:t xml:space="preserve">Presented by: Tina </w:t>
            </w:r>
            <w:proofErr w:type="spellStart"/>
            <w:r>
              <w:rPr>
                <w:sz w:val="21"/>
                <w:szCs w:val="21"/>
              </w:rPr>
              <w:t>Baradaran</w:t>
            </w:r>
            <w:proofErr w:type="spellEnd"/>
            <w:r>
              <w:rPr>
                <w:sz w:val="21"/>
                <w:szCs w:val="21"/>
              </w:rPr>
              <w:t xml:space="preserve"> and Julie Mulholland, ANSTO Discovery Centre</w:t>
            </w:r>
          </w:p>
          <w:p w:rsidR="00FC4251" w:rsidRDefault="00FC4251" w:rsidP="00FC4251">
            <w:pPr>
              <w:spacing w:after="0" w:line="240" w:lineRule="auto"/>
              <w:rPr>
                <w:sz w:val="21"/>
                <w:szCs w:val="21"/>
              </w:rPr>
            </w:pPr>
          </w:p>
          <w:p w:rsidR="00FC4251" w:rsidRDefault="00FC4251" w:rsidP="00FC4251">
            <w:pPr>
              <w:spacing w:after="0" w:line="240" w:lineRule="auto"/>
              <w:rPr>
                <w:sz w:val="21"/>
                <w:szCs w:val="21"/>
              </w:rPr>
            </w:pPr>
            <w:r>
              <w:rPr>
                <w:sz w:val="21"/>
                <w:szCs w:val="21"/>
              </w:rPr>
              <w:t xml:space="preserve">An introduction to resources developed by ANSTO’s education team and a discussion about how teachers can use them to build their own lesson on </w:t>
            </w:r>
            <w:r>
              <w:rPr>
                <w:sz w:val="21"/>
                <w:szCs w:val="21"/>
              </w:rPr>
              <w:t>nuclear medicines</w:t>
            </w:r>
            <w:bookmarkStart w:id="0" w:name="_GoBack"/>
            <w:bookmarkEnd w:id="0"/>
            <w:r>
              <w:rPr>
                <w:sz w:val="21"/>
                <w:szCs w:val="21"/>
              </w:rPr>
              <w:t>. Instructions will also be given on the post TPD work required to be eligible to receive 7 NESA or TQI accredited hours.</w:t>
            </w:r>
          </w:p>
        </w:tc>
      </w:tr>
      <w:tr w:rsidR="00FC4251" w:rsidTr="00C84B01">
        <w:tc>
          <w:tcPr>
            <w:tcW w:w="3224" w:type="dxa"/>
            <w:shd w:val="clear" w:color="auto" w:fill="F2F2F2" w:themeFill="background1" w:themeFillShade="F2"/>
            <w:tcMar>
              <w:left w:w="83" w:type="dxa"/>
            </w:tcMar>
            <w:vAlign w:val="center"/>
          </w:tcPr>
          <w:p w:rsidR="00FC4251" w:rsidRDefault="00FC4251" w:rsidP="00FC4251">
            <w:pPr>
              <w:spacing w:after="0" w:line="240" w:lineRule="auto"/>
            </w:pPr>
            <w:r>
              <w:rPr>
                <w:sz w:val="21"/>
                <w:szCs w:val="21"/>
              </w:rPr>
              <w:t>5.25pm – 5.30pm</w:t>
            </w:r>
          </w:p>
        </w:tc>
        <w:tc>
          <w:tcPr>
            <w:tcW w:w="6665" w:type="dxa"/>
            <w:shd w:val="clear" w:color="auto" w:fill="F2F2F2" w:themeFill="background1" w:themeFillShade="F2"/>
            <w:tcMar>
              <w:left w:w="83" w:type="dxa"/>
            </w:tcMar>
            <w:vAlign w:val="center"/>
          </w:tcPr>
          <w:p w:rsidR="00FC4251" w:rsidRDefault="00FC4251" w:rsidP="00FC4251">
            <w:pPr>
              <w:spacing w:after="0" w:line="240" w:lineRule="auto"/>
            </w:pPr>
            <w:r>
              <w:rPr>
                <w:sz w:val="21"/>
                <w:szCs w:val="21"/>
              </w:rPr>
              <w:t xml:space="preserve">Evaluation and wrap up </w:t>
            </w:r>
          </w:p>
        </w:tc>
      </w:tr>
      <w:tr w:rsidR="00FC4251" w:rsidTr="00C84B01">
        <w:trPr>
          <w:trHeight w:val="382"/>
        </w:trPr>
        <w:tc>
          <w:tcPr>
            <w:tcW w:w="3224" w:type="dxa"/>
            <w:shd w:val="clear" w:color="auto" w:fill="FFFFFF" w:themeFill="background1"/>
            <w:tcMar>
              <w:left w:w="83" w:type="dxa"/>
            </w:tcMar>
            <w:vAlign w:val="center"/>
          </w:tcPr>
          <w:p w:rsidR="00FC4251" w:rsidRDefault="00FC4251" w:rsidP="00FC4251">
            <w:pPr>
              <w:spacing w:after="0" w:line="240" w:lineRule="auto"/>
              <w:rPr>
                <w:sz w:val="21"/>
                <w:szCs w:val="21"/>
              </w:rPr>
            </w:pPr>
          </w:p>
        </w:tc>
        <w:tc>
          <w:tcPr>
            <w:tcW w:w="6665" w:type="dxa"/>
            <w:shd w:val="clear" w:color="auto" w:fill="FFFFFF" w:themeFill="background1"/>
            <w:tcMar>
              <w:left w:w="83" w:type="dxa"/>
            </w:tcMar>
            <w:vAlign w:val="center"/>
          </w:tcPr>
          <w:p w:rsidR="00FC4251" w:rsidRDefault="00FC4251" w:rsidP="00FC4251">
            <w:pPr>
              <w:spacing w:after="0" w:line="240" w:lineRule="auto"/>
              <w:rPr>
                <w:sz w:val="21"/>
                <w:szCs w:val="21"/>
              </w:rPr>
            </w:pPr>
            <w:r>
              <w:rPr>
                <w:sz w:val="21"/>
                <w:szCs w:val="21"/>
              </w:rPr>
              <w:t>Final questions and feedback</w:t>
            </w:r>
          </w:p>
        </w:tc>
      </w:tr>
    </w:tbl>
    <w:p w:rsidR="00040993" w:rsidRDefault="00040993" w:rsidP="00040993">
      <w:pPr>
        <w:rPr>
          <w:sz w:val="20"/>
        </w:rPr>
      </w:pPr>
    </w:p>
    <w:p w:rsidR="00040993" w:rsidRDefault="00040993" w:rsidP="00040993">
      <w:pPr>
        <w:rPr>
          <w:sz w:val="20"/>
        </w:rPr>
      </w:pPr>
    </w:p>
    <w:p w:rsidR="00040993" w:rsidRDefault="00040993" w:rsidP="00040993">
      <w:pPr>
        <w:rPr>
          <w:sz w:val="20"/>
        </w:rPr>
      </w:pPr>
    </w:p>
    <w:p w:rsidR="00040993" w:rsidRDefault="00040993" w:rsidP="00040993">
      <w:pPr>
        <w:rPr>
          <w:sz w:val="20"/>
        </w:rPr>
      </w:pPr>
    </w:p>
    <w:p w:rsidR="0029189C" w:rsidRDefault="0029189C" w:rsidP="00040993">
      <w:pPr>
        <w:rPr>
          <w:sz w:val="20"/>
        </w:rPr>
      </w:pPr>
    </w:p>
    <w:p w:rsidR="00494A58" w:rsidRDefault="00494A58">
      <w:pPr>
        <w:spacing w:after="160" w:line="259" w:lineRule="auto"/>
        <w:rPr>
          <w:b/>
          <w:sz w:val="28"/>
          <w:szCs w:val="26"/>
        </w:rPr>
      </w:pPr>
      <w:r>
        <w:rPr>
          <w:b/>
          <w:sz w:val="28"/>
          <w:szCs w:val="26"/>
        </w:rPr>
        <w:br w:type="page"/>
      </w:r>
    </w:p>
    <w:p w:rsidR="00040993" w:rsidRDefault="00040993" w:rsidP="00040993">
      <w:pPr>
        <w:rPr>
          <w:b/>
          <w:sz w:val="28"/>
          <w:szCs w:val="26"/>
        </w:rPr>
      </w:pPr>
      <w:r>
        <w:rPr>
          <w:b/>
          <w:sz w:val="28"/>
          <w:szCs w:val="26"/>
        </w:rPr>
        <w:lastRenderedPageBreak/>
        <w:t>Speaker profiles:</w:t>
      </w:r>
    </w:p>
    <w:tbl>
      <w:tblPr>
        <w:tblStyle w:val="TableGrid"/>
        <w:tblpPr w:leftFromText="180" w:rightFromText="180" w:vertAnchor="text" w:tblpX="-572" w:tblpY="1"/>
        <w:tblW w:w="10314" w:type="dxa"/>
        <w:tblCellMar>
          <w:left w:w="78" w:type="dxa"/>
        </w:tblCellMar>
        <w:tblLook w:val="04A0" w:firstRow="1" w:lastRow="0" w:firstColumn="1" w:lastColumn="0" w:noHBand="0" w:noVBand="1"/>
      </w:tblPr>
      <w:tblGrid>
        <w:gridCol w:w="2991"/>
        <w:gridCol w:w="7323"/>
      </w:tblGrid>
      <w:tr w:rsidR="00F047C2" w:rsidTr="00494A58">
        <w:trPr>
          <w:trHeight w:val="2825"/>
        </w:trPr>
        <w:tc>
          <w:tcPr>
            <w:tcW w:w="2991" w:type="dxa"/>
            <w:shd w:val="clear" w:color="auto" w:fill="auto"/>
            <w:tcMar>
              <w:left w:w="78" w:type="dxa"/>
            </w:tcMar>
          </w:tcPr>
          <w:p w:rsidR="00040993" w:rsidRDefault="00040993" w:rsidP="00494A58">
            <w:pPr>
              <w:spacing w:after="0" w:line="240" w:lineRule="auto"/>
              <w:jc w:val="center"/>
              <w:rPr>
                <w:b/>
                <w:noProof/>
                <w:sz w:val="28"/>
                <w:lang w:eastAsia="en-AU"/>
              </w:rPr>
            </w:pPr>
          </w:p>
          <w:p w:rsidR="004E1B2D" w:rsidRDefault="00F047C2" w:rsidP="00494A58">
            <w:pPr>
              <w:spacing w:after="0" w:line="240" w:lineRule="auto"/>
              <w:jc w:val="center"/>
              <w:rPr>
                <w:b/>
                <w:sz w:val="28"/>
              </w:rPr>
            </w:pPr>
            <w:r w:rsidRPr="00F047C2">
              <w:rPr>
                <w:b/>
                <w:noProof/>
                <w:sz w:val="28"/>
                <w:lang w:eastAsia="en-AU"/>
              </w:rPr>
              <w:drawing>
                <wp:inline distT="0" distB="0" distL="0" distR="0">
                  <wp:extent cx="1768407" cy="2143125"/>
                  <wp:effectExtent l="0" t="0" r="3810" b="0"/>
                  <wp:docPr id="8" name="Picture 8" descr="D:\Users\baradart\AppData\Local\Microsoft\Windows\INetCache\Content.Outlook\68JHV09I\DSC_0079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baradart\AppData\Local\Microsoft\Windows\INetCache\Content.Outlook\68JHV09I\DSC_0079_cropp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2857" cy="2148518"/>
                          </a:xfrm>
                          <a:prstGeom prst="rect">
                            <a:avLst/>
                          </a:prstGeom>
                          <a:noFill/>
                          <a:ln>
                            <a:noFill/>
                          </a:ln>
                        </pic:spPr>
                      </pic:pic>
                    </a:graphicData>
                  </a:graphic>
                </wp:inline>
              </w:drawing>
            </w:r>
          </w:p>
        </w:tc>
        <w:tc>
          <w:tcPr>
            <w:tcW w:w="7323" w:type="dxa"/>
            <w:shd w:val="clear" w:color="auto" w:fill="auto"/>
            <w:tcMar>
              <w:left w:w="78" w:type="dxa"/>
            </w:tcMar>
          </w:tcPr>
          <w:p w:rsidR="00CD28DE" w:rsidRPr="00CD28DE" w:rsidRDefault="00CD28DE" w:rsidP="00494A58">
            <w:pPr>
              <w:tabs>
                <w:tab w:val="center" w:pos="4513"/>
                <w:tab w:val="right" w:pos="9026"/>
              </w:tabs>
              <w:spacing w:after="0" w:line="240" w:lineRule="auto"/>
              <w:rPr>
                <w:rFonts w:cstheme="minorHAnsi"/>
                <w:sz w:val="21"/>
                <w:szCs w:val="21"/>
              </w:rPr>
            </w:pPr>
            <w:bookmarkStart w:id="1" w:name="__DdeLink__1175_1052075072"/>
            <w:r w:rsidRPr="00CD28DE">
              <w:rPr>
                <w:rFonts w:cstheme="minorHAnsi"/>
                <w:b/>
                <w:sz w:val="21"/>
                <w:szCs w:val="21"/>
              </w:rPr>
              <w:t>Associate Professor Benjamin Fraser</w:t>
            </w:r>
            <w:r w:rsidRPr="00CD28DE">
              <w:rPr>
                <w:rFonts w:cstheme="minorHAnsi"/>
                <w:b/>
                <w:bCs/>
                <w:sz w:val="21"/>
                <w:szCs w:val="21"/>
              </w:rPr>
              <w:t>,</w:t>
            </w:r>
            <w:r w:rsidRPr="00CD28DE">
              <w:rPr>
                <w:rFonts w:ascii="Calibri" w:eastAsia="Calibri" w:hAnsi="Calibri" w:cs="Calibri"/>
                <w:sz w:val="21"/>
                <w:szCs w:val="21"/>
              </w:rPr>
              <w:t xml:space="preserve"> </w:t>
            </w:r>
            <w:r w:rsidRPr="00CD28DE">
              <w:rPr>
                <w:rFonts w:cstheme="minorHAnsi"/>
                <w:b/>
                <w:bCs/>
                <w:sz w:val="21"/>
                <w:szCs w:val="21"/>
              </w:rPr>
              <w:t xml:space="preserve">Human Health Research Theme, ANSTO </w:t>
            </w:r>
            <w:bookmarkEnd w:id="1"/>
          </w:p>
          <w:p w:rsidR="00494A58" w:rsidRDefault="00494A58" w:rsidP="00494A58">
            <w:pPr>
              <w:spacing w:after="0"/>
              <w:jc w:val="both"/>
              <w:rPr>
                <w:rFonts w:ascii="Calibri" w:eastAsia="Calibri" w:hAnsi="Calibri" w:cs="Calibri"/>
                <w:sz w:val="21"/>
                <w:szCs w:val="21"/>
              </w:rPr>
            </w:pPr>
          </w:p>
          <w:p w:rsidR="00CD28DE" w:rsidRPr="00CD28DE" w:rsidRDefault="00CD28DE" w:rsidP="00494A58">
            <w:pPr>
              <w:spacing w:after="0"/>
              <w:jc w:val="both"/>
              <w:rPr>
                <w:rFonts w:ascii="Calibri" w:eastAsia="Calibri" w:hAnsi="Calibri" w:cs="Calibri"/>
                <w:sz w:val="21"/>
                <w:szCs w:val="21"/>
              </w:rPr>
            </w:pPr>
            <w:r w:rsidRPr="00CD28DE">
              <w:rPr>
                <w:rFonts w:ascii="Calibri" w:eastAsia="Calibri" w:hAnsi="Calibri" w:cs="Calibri"/>
                <w:sz w:val="21"/>
                <w:szCs w:val="21"/>
              </w:rPr>
              <w:t xml:space="preserve">Ben is a research lead and program manager in the Human Health Research Theme at ANSTO. He manages a synthetic chemistry laboratory and supervises staff members (scientific and technical), graduate students and post-doctoral researchers that are responsible for; 1) synthesizing new compounds for evaluation as new radio-tracers and radio-therapeutics, 2) undertaking </w:t>
            </w:r>
            <w:r w:rsidRPr="00CD28DE">
              <w:rPr>
                <w:rFonts w:ascii="Calibri" w:eastAsia="Calibri" w:hAnsi="Calibri" w:cs="Calibri"/>
                <w:i/>
                <w:iCs/>
                <w:sz w:val="21"/>
                <w:szCs w:val="21"/>
              </w:rPr>
              <w:t xml:space="preserve">in vitro </w:t>
            </w:r>
            <w:r w:rsidRPr="00CD28DE">
              <w:rPr>
                <w:rFonts w:ascii="Calibri" w:eastAsia="Calibri" w:hAnsi="Calibri" w:cs="Calibri"/>
                <w:sz w:val="21"/>
                <w:szCs w:val="21"/>
              </w:rPr>
              <w:t xml:space="preserve">and </w:t>
            </w:r>
            <w:r w:rsidRPr="00CD28DE">
              <w:rPr>
                <w:rFonts w:ascii="Calibri" w:eastAsia="Calibri" w:hAnsi="Calibri" w:cs="Calibri"/>
                <w:i/>
                <w:iCs/>
                <w:sz w:val="21"/>
                <w:szCs w:val="21"/>
              </w:rPr>
              <w:t>in vivo</w:t>
            </w:r>
            <w:r w:rsidRPr="00CD28DE">
              <w:rPr>
                <w:rFonts w:ascii="Calibri" w:eastAsia="Calibri" w:hAnsi="Calibri" w:cs="Calibri"/>
                <w:sz w:val="21"/>
                <w:szCs w:val="21"/>
              </w:rPr>
              <w:t xml:space="preserve"> target affinity and metabolism studies and 3) undertaking radiolabelling optimisation studies. His research interests lie in the field of cancer diagnostics and treatment, brain imaging for mental disorders including depression and Alzheimer’s disease, and developing new radiolabelling techniques with the PET imaging isotope fluorine-18. </w:t>
            </w:r>
            <w:r w:rsidRPr="00CD28DE">
              <w:rPr>
                <w:rFonts w:cstheme="minorHAnsi"/>
                <w:sz w:val="21"/>
                <w:szCs w:val="21"/>
              </w:rPr>
              <w:t>Ben also teaches radiopharmaceutical science to undergraduates students at Monash University, USYD and UNSW.</w:t>
            </w:r>
          </w:p>
          <w:p w:rsidR="00040993" w:rsidRPr="00CD28DE" w:rsidRDefault="00040993" w:rsidP="00494A58">
            <w:pPr>
              <w:spacing w:after="0" w:line="240" w:lineRule="auto"/>
              <w:rPr>
                <w:rFonts w:cstheme="minorHAnsi"/>
                <w:sz w:val="21"/>
                <w:szCs w:val="21"/>
              </w:rPr>
            </w:pPr>
          </w:p>
        </w:tc>
      </w:tr>
      <w:tr w:rsidR="00F047C2" w:rsidTr="00494A58">
        <w:trPr>
          <w:trHeight w:val="2807"/>
        </w:trPr>
        <w:tc>
          <w:tcPr>
            <w:tcW w:w="2991" w:type="dxa"/>
            <w:shd w:val="clear" w:color="auto" w:fill="auto"/>
            <w:tcMar>
              <w:left w:w="78" w:type="dxa"/>
            </w:tcMar>
          </w:tcPr>
          <w:p w:rsidR="00040993" w:rsidRDefault="00040993" w:rsidP="00494A58">
            <w:pPr>
              <w:spacing w:after="0" w:line="240" w:lineRule="auto"/>
              <w:rPr>
                <w:noProof/>
                <w:lang w:eastAsia="en-AU"/>
              </w:rPr>
            </w:pPr>
          </w:p>
          <w:p w:rsidR="009E033D" w:rsidRDefault="00F047C2" w:rsidP="00494A58">
            <w:pPr>
              <w:spacing w:after="0" w:line="240" w:lineRule="auto"/>
              <w:rPr>
                <w:lang w:eastAsia="en-AU"/>
              </w:rPr>
            </w:pPr>
            <w:r w:rsidRPr="00F047C2">
              <w:rPr>
                <w:noProof/>
                <w:lang w:eastAsia="en-AU"/>
              </w:rPr>
              <w:drawing>
                <wp:inline distT="0" distB="0" distL="0" distR="0">
                  <wp:extent cx="1781175" cy="1643700"/>
                  <wp:effectExtent l="0" t="0" r="0" b="0"/>
                  <wp:docPr id="7" name="Picture 7" descr="D:\Users\baradart\AppData\Local\Microsoft\Windows\INetCache\Content.Outlook\68JHV09I\Leena Hogan high res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baradart\AppData\Local\Microsoft\Windows\INetCache\Content.Outlook\68JHV09I\Leena Hogan high res cro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5429" cy="1647626"/>
                          </a:xfrm>
                          <a:prstGeom prst="rect">
                            <a:avLst/>
                          </a:prstGeom>
                          <a:noFill/>
                          <a:ln>
                            <a:noFill/>
                          </a:ln>
                        </pic:spPr>
                      </pic:pic>
                    </a:graphicData>
                  </a:graphic>
                </wp:inline>
              </w:drawing>
            </w:r>
          </w:p>
        </w:tc>
        <w:tc>
          <w:tcPr>
            <w:tcW w:w="7323" w:type="dxa"/>
            <w:shd w:val="clear" w:color="auto" w:fill="auto"/>
            <w:tcMar>
              <w:left w:w="78" w:type="dxa"/>
            </w:tcMar>
          </w:tcPr>
          <w:p w:rsidR="00040993" w:rsidRDefault="00F047C2" w:rsidP="00494A58">
            <w:pPr>
              <w:tabs>
                <w:tab w:val="center" w:pos="4513"/>
                <w:tab w:val="right" w:pos="9026"/>
              </w:tabs>
              <w:spacing w:after="0" w:line="240" w:lineRule="auto"/>
            </w:pPr>
            <w:r>
              <w:rPr>
                <w:rFonts w:cstheme="minorHAnsi"/>
                <w:b/>
                <w:sz w:val="21"/>
                <w:szCs w:val="21"/>
              </w:rPr>
              <w:t>Leena Hogan,</w:t>
            </w:r>
            <w:r w:rsidR="00121D44">
              <w:rPr>
                <w:rFonts w:cstheme="minorHAnsi"/>
                <w:b/>
                <w:sz w:val="21"/>
                <w:szCs w:val="21"/>
              </w:rPr>
              <w:t xml:space="preserve"> Radioisotopes and Irradiations Manager,</w:t>
            </w:r>
            <w:r>
              <w:rPr>
                <w:rFonts w:cstheme="minorHAnsi"/>
                <w:b/>
                <w:sz w:val="21"/>
                <w:szCs w:val="21"/>
              </w:rPr>
              <w:t xml:space="preserve"> ANSTO</w:t>
            </w:r>
            <w:r w:rsidR="004E1B2D">
              <w:rPr>
                <w:rFonts w:cstheme="minorHAnsi"/>
                <w:b/>
                <w:sz w:val="21"/>
                <w:szCs w:val="21"/>
              </w:rPr>
              <w:t xml:space="preserve"> </w:t>
            </w:r>
          </w:p>
          <w:p w:rsidR="00040993" w:rsidRPr="00494A58" w:rsidRDefault="00F047C2" w:rsidP="00494A58">
            <w:pPr>
              <w:spacing w:before="100" w:beforeAutospacing="1" w:after="100" w:afterAutospacing="1" w:line="240" w:lineRule="auto"/>
              <w:rPr>
                <w:rFonts w:ascii="Calibri" w:eastAsia="Calibri" w:hAnsi="Calibri" w:cs="Calibri"/>
                <w:color w:val="1F497D"/>
                <w:sz w:val="21"/>
                <w:szCs w:val="21"/>
              </w:rPr>
            </w:pPr>
            <w:r w:rsidRPr="00CD28DE">
              <w:rPr>
                <w:rFonts w:ascii="Calibri" w:eastAsia="Calibri" w:hAnsi="Calibri" w:cs="Calibri"/>
                <w:sz w:val="21"/>
                <w:szCs w:val="21"/>
              </w:rPr>
              <w:t xml:space="preserve">Leena Hogan is the Radioisotopes and Irradiations Manager for ANSTO Biosciences. Her research focuses on the development, separation, purification, and formulation of new radioisotopes for use in medical, environmental, agricultural and industrial applications. Recently, the radioisotope development team was responsible for Australia’s first production of scandium-47, a promising therapeutic radioisotope </w:t>
            </w:r>
            <w:hyperlink r:id="rId8" w:history="1">
              <w:r w:rsidRPr="00CD28DE">
                <w:rPr>
                  <w:rFonts w:ascii="Calibri" w:eastAsia="Calibri" w:hAnsi="Calibri" w:cs="Calibri"/>
                  <w:color w:val="0563C1"/>
                  <w:sz w:val="21"/>
                  <w:szCs w:val="21"/>
                  <w:u w:val="single"/>
                </w:rPr>
                <w:t>https://www.ansto.gov.au/news/potential-true-theranostic-agent-for-cancer-produced</w:t>
              </w:r>
            </w:hyperlink>
          </w:p>
          <w:p w:rsidR="00040993" w:rsidRDefault="00040993" w:rsidP="00494A58">
            <w:pPr>
              <w:tabs>
                <w:tab w:val="center" w:pos="4513"/>
                <w:tab w:val="right" w:pos="9026"/>
              </w:tabs>
              <w:spacing w:after="0" w:line="240" w:lineRule="auto"/>
              <w:rPr>
                <w:rFonts w:cstheme="minorHAnsi"/>
                <w:sz w:val="21"/>
                <w:szCs w:val="21"/>
              </w:rPr>
            </w:pPr>
          </w:p>
          <w:p w:rsidR="009E033D" w:rsidRDefault="009E033D" w:rsidP="00494A58">
            <w:pPr>
              <w:tabs>
                <w:tab w:val="center" w:pos="4513"/>
                <w:tab w:val="right" w:pos="9026"/>
              </w:tabs>
              <w:spacing w:after="0" w:line="240" w:lineRule="auto"/>
              <w:rPr>
                <w:rFonts w:cstheme="minorHAnsi"/>
                <w:sz w:val="21"/>
                <w:szCs w:val="21"/>
              </w:rPr>
            </w:pPr>
          </w:p>
        </w:tc>
      </w:tr>
      <w:tr w:rsidR="00494A58" w:rsidTr="00494A58">
        <w:trPr>
          <w:trHeight w:val="2263"/>
        </w:trPr>
        <w:tc>
          <w:tcPr>
            <w:tcW w:w="2991" w:type="dxa"/>
            <w:shd w:val="clear" w:color="auto" w:fill="auto"/>
            <w:tcMar>
              <w:left w:w="78" w:type="dxa"/>
            </w:tcMar>
          </w:tcPr>
          <w:p w:rsidR="00494A58" w:rsidRPr="00040993" w:rsidRDefault="00494A58" w:rsidP="00494A58">
            <w:pPr>
              <w:spacing w:after="0" w:line="240" w:lineRule="auto"/>
              <w:rPr>
                <w:lang w:eastAsia="en-AU"/>
              </w:rPr>
            </w:pPr>
            <w:r w:rsidRPr="00CA0406">
              <w:rPr>
                <w:noProof/>
                <w:lang w:eastAsia="en-AU"/>
              </w:rPr>
              <w:drawing>
                <wp:inline distT="0" distB="0" distL="0" distR="0" wp14:anchorId="2E1D8C89" wp14:editId="3EA53F68">
                  <wp:extent cx="1759585" cy="1810743"/>
                  <wp:effectExtent l="0" t="0" r="0" b="0"/>
                  <wp:docPr id="1" name="Picture 1" descr="J:\Photos\WFNMB - Shimadzu Awa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hotos\WFNMB - Shimadzu Award\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150" t="21905" r="36280" b="46784"/>
                          <a:stretch/>
                        </pic:blipFill>
                        <pic:spPr bwMode="auto">
                          <a:xfrm>
                            <a:off x="0" y="0"/>
                            <a:ext cx="1774631" cy="18262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323" w:type="dxa"/>
            <w:shd w:val="clear" w:color="auto" w:fill="auto"/>
            <w:tcMar>
              <w:left w:w="78" w:type="dxa"/>
            </w:tcMar>
          </w:tcPr>
          <w:p w:rsidR="00494A58" w:rsidRDefault="00494A58" w:rsidP="00494A58">
            <w:pPr>
              <w:tabs>
                <w:tab w:val="center" w:pos="4513"/>
                <w:tab w:val="right" w:pos="9026"/>
              </w:tabs>
              <w:spacing w:after="0" w:line="240" w:lineRule="auto"/>
              <w:rPr>
                <w:rFonts w:cstheme="minorHAnsi"/>
                <w:b/>
                <w:sz w:val="21"/>
                <w:szCs w:val="21"/>
              </w:rPr>
            </w:pPr>
            <w:r w:rsidRPr="00494A58">
              <w:rPr>
                <w:rFonts w:cstheme="minorHAnsi"/>
                <w:b/>
                <w:sz w:val="21"/>
                <w:szCs w:val="21"/>
              </w:rPr>
              <w:t xml:space="preserve">Dr Nigel </w:t>
            </w:r>
            <w:proofErr w:type="spellStart"/>
            <w:r w:rsidRPr="00494A58">
              <w:rPr>
                <w:rFonts w:cstheme="minorHAnsi"/>
                <w:b/>
                <w:sz w:val="21"/>
                <w:szCs w:val="21"/>
              </w:rPr>
              <w:t>Lengkeek</w:t>
            </w:r>
            <w:proofErr w:type="spellEnd"/>
            <w:r w:rsidRPr="00494A58">
              <w:rPr>
                <w:rFonts w:cstheme="minorHAnsi"/>
                <w:b/>
                <w:sz w:val="21"/>
                <w:szCs w:val="21"/>
              </w:rPr>
              <w:t>, ANSTO</w:t>
            </w:r>
          </w:p>
          <w:p w:rsidR="00494A58" w:rsidRPr="00494A58" w:rsidRDefault="00494A58" w:rsidP="00494A58">
            <w:pPr>
              <w:tabs>
                <w:tab w:val="center" w:pos="4513"/>
                <w:tab w:val="right" w:pos="9026"/>
              </w:tabs>
              <w:spacing w:after="0" w:line="240" w:lineRule="auto"/>
              <w:rPr>
                <w:sz w:val="21"/>
                <w:szCs w:val="21"/>
              </w:rPr>
            </w:pPr>
          </w:p>
          <w:p w:rsidR="00494A58" w:rsidRPr="008017DD" w:rsidRDefault="00494A58" w:rsidP="00494A58">
            <w:pPr>
              <w:pStyle w:val="BodyText"/>
              <w:tabs>
                <w:tab w:val="center" w:pos="4513"/>
                <w:tab w:val="right" w:pos="9026"/>
              </w:tabs>
              <w:spacing w:after="0" w:line="240" w:lineRule="auto"/>
              <w:rPr>
                <w:szCs w:val="20"/>
              </w:rPr>
            </w:pPr>
            <w:r w:rsidRPr="00494A58">
              <w:rPr>
                <w:sz w:val="21"/>
                <w:szCs w:val="21"/>
              </w:rPr>
              <w:t xml:space="preserve">Nigel is a senior radiochemist in ANSTO’s Biosciences Platform and leads the Radiotracer Development and Translation team. His team works with Australian and global companies, assisting them to translate their early stage radiopharmaceutical products to assets ready for clinical trials or routine clinical supply. An example of the work is highlighted here, </w:t>
            </w:r>
            <w:hyperlink r:id="rId10" w:history="1">
              <w:r w:rsidRPr="00494A58">
                <w:rPr>
                  <w:rStyle w:val="Hyperlink"/>
                  <w:sz w:val="21"/>
                  <w:szCs w:val="21"/>
                </w:rPr>
                <w:t>https://www.ansto.gov.au/news/collaboration-develops-innovative-cancer-diagnostic-agent</w:t>
              </w:r>
            </w:hyperlink>
            <w:r w:rsidRPr="00494A58">
              <w:rPr>
                <w:sz w:val="21"/>
                <w:szCs w:val="21"/>
              </w:rPr>
              <w:t>.</w:t>
            </w:r>
            <w:r>
              <w:rPr>
                <w:szCs w:val="20"/>
              </w:rPr>
              <w:t xml:space="preserve">   </w:t>
            </w:r>
          </w:p>
        </w:tc>
      </w:tr>
      <w:tr w:rsidR="00494A58" w:rsidTr="00494A58">
        <w:trPr>
          <w:trHeight w:val="2807"/>
        </w:trPr>
        <w:tc>
          <w:tcPr>
            <w:tcW w:w="10314" w:type="dxa"/>
            <w:gridSpan w:val="2"/>
            <w:shd w:val="clear" w:color="auto" w:fill="auto"/>
            <w:tcMar>
              <w:left w:w="78" w:type="dxa"/>
            </w:tcMar>
          </w:tcPr>
          <w:p w:rsidR="00494A58" w:rsidRDefault="00494A58" w:rsidP="00494A58">
            <w:pPr>
              <w:spacing w:after="0" w:line="240" w:lineRule="auto"/>
              <w:rPr>
                <w:b/>
                <w:sz w:val="18"/>
                <w:lang w:eastAsia="en-AU"/>
              </w:rPr>
            </w:pPr>
          </w:p>
          <w:p w:rsidR="00494A58" w:rsidRDefault="00494A58" w:rsidP="00494A58">
            <w:pPr>
              <w:rPr>
                <w:sz w:val="18"/>
                <w:szCs w:val="18"/>
              </w:rPr>
            </w:pPr>
            <w:r>
              <w:rPr>
                <w:b/>
                <w:bCs/>
                <w:sz w:val="18"/>
                <w:szCs w:val="18"/>
              </w:rPr>
              <w:t xml:space="preserve">Bridget </w:t>
            </w:r>
            <w:proofErr w:type="spellStart"/>
            <w:r>
              <w:rPr>
                <w:b/>
                <w:bCs/>
                <w:sz w:val="18"/>
                <w:szCs w:val="18"/>
              </w:rPr>
              <w:t>Murphy,</w:t>
            </w:r>
            <w:proofErr w:type="spellEnd"/>
            <w:r>
              <w:rPr>
                <w:b/>
                <w:bCs/>
                <w:sz w:val="18"/>
                <w:szCs w:val="18"/>
              </w:rPr>
              <w:t xml:space="preserve"> Education Manager, </w:t>
            </w:r>
            <w:r w:rsidRPr="004C1B58">
              <w:rPr>
                <w:sz w:val="18"/>
                <w:szCs w:val="18"/>
              </w:rPr>
              <w:t>has a background in</w:t>
            </w:r>
            <w:r w:rsidRPr="004E1B2D">
              <w:rPr>
                <w:sz w:val="18"/>
                <w:szCs w:val="18"/>
              </w:rPr>
              <w:t xml:space="preserve"> biological </w:t>
            </w:r>
            <w:r w:rsidRPr="004C1B58">
              <w:rPr>
                <w:sz w:val="18"/>
                <w:szCs w:val="18"/>
              </w:rPr>
              <w:t>science</w:t>
            </w:r>
            <w:r>
              <w:rPr>
                <w:sz w:val="18"/>
                <w:szCs w:val="18"/>
              </w:rPr>
              <w:t xml:space="preserve"> and science education</w:t>
            </w:r>
            <w:r w:rsidRPr="004C1B58">
              <w:rPr>
                <w:sz w:val="18"/>
                <w:szCs w:val="18"/>
              </w:rPr>
              <w:t xml:space="preserve"> and has worked in the ANSTO Education Team for </w:t>
            </w:r>
            <w:r>
              <w:rPr>
                <w:sz w:val="18"/>
                <w:szCs w:val="18"/>
              </w:rPr>
              <w:t xml:space="preserve">ten </w:t>
            </w:r>
            <w:r w:rsidRPr="004C1B58">
              <w:rPr>
                <w:sz w:val="18"/>
                <w:szCs w:val="18"/>
              </w:rPr>
              <w:t xml:space="preserve">years. </w:t>
            </w:r>
            <w:r>
              <w:rPr>
                <w:sz w:val="18"/>
                <w:szCs w:val="18"/>
              </w:rPr>
              <w:t>Bridget</w:t>
            </w:r>
            <w:r w:rsidRPr="004C1B58">
              <w:rPr>
                <w:sz w:val="18"/>
                <w:szCs w:val="18"/>
              </w:rPr>
              <w:t xml:space="preserve"> is responsible for developing and de</w:t>
            </w:r>
            <w:r>
              <w:rPr>
                <w:sz w:val="18"/>
                <w:szCs w:val="18"/>
              </w:rPr>
              <w:t xml:space="preserve">livering new programs for high school students and professional development for teachers. </w:t>
            </w:r>
          </w:p>
          <w:p w:rsidR="00494A58" w:rsidRPr="004C1B58" w:rsidRDefault="00494A58" w:rsidP="00494A58">
            <w:pPr>
              <w:rPr>
                <w:sz w:val="18"/>
                <w:szCs w:val="18"/>
              </w:rPr>
            </w:pPr>
            <w:r>
              <w:rPr>
                <w:b/>
                <w:bCs/>
                <w:sz w:val="18"/>
                <w:szCs w:val="18"/>
              </w:rPr>
              <w:t>Julie Mullholland,</w:t>
            </w:r>
            <w:r w:rsidRPr="004C1B58">
              <w:rPr>
                <w:sz w:val="18"/>
                <w:szCs w:val="18"/>
              </w:rPr>
              <w:t xml:space="preserve"> </w:t>
            </w:r>
            <w:r w:rsidRPr="004C1B58">
              <w:rPr>
                <w:b/>
                <w:sz w:val="18"/>
                <w:szCs w:val="18"/>
              </w:rPr>
              <w:t>Education Officer</w:t>
            </w:r>
            <w:r>
              <w:rPr>
                <w:sz w:val="18"/>
                <w:szCs w:val="18"/>
              </w:rPr>
              <w:t xml:space="preserve">, </w:t>
            </w:r>
            <w:r w:rsidRPr="00516505">
              <w:rPr>
                <w:sz w:val="18"/>
                <w:szCs w:val="18"/>
              </w:rPr>
              <w:t xml:space="preserve">has a wealth of experience in science education, with a career teaching high school chemistry, physics and maths for </w:t>
            </w:r>
            <w:r>
              <w:rPr>
                <w:sz w:val="18"/>
                <w:szCs w:val="18"/>
              </w:rPr>
              <w:t>nearly 30</w:t>
            </w:r>
            <w:r w:rsidRPr="00516505">
              <w:rPr>
                <w:sz w:val="18"/>
                <w:szCs w:val="18"/>
              </w:rPr>
              <w:t xml:space="preserve"> years. Julie is instrumental in developing our data set resources for high school students.</w:t>
            </w:r>
          </w:p>
          <w:p w:rsidR="00494A58" w:rsidRPr="00CB0444" w:rsidRDefault="00494A58" w:rsidP="00494A58">
            <w:pPr>
              <w:rPr>
                <w:sz w:val="18"/>
                <w:szCs w:val="18"/>
              </w:rPr>
            </w:pPr>
            <w:r>
              <w:rPr>
                <w:b/>
                <w:bCs/>
                <w:sz w:val="18"/>
                <w:szCs w:val="18"/>
              </w:rPr>
              <w:t xml:space="preserve">Tina </w:t>
            </w:r>
            <w:proofErr w:type="spellStart"/>
            <w:r>
              <w:rPr>
                <w:b/>
                <w:bCs/>
                <w:sz w:val="18"/>
                <w:szCs w:val="18"/>
              </w:rPr>
              <w:t>Baradaran</w:t>
            </w:r>
            <w:proofErr w:type="spellEnd"/>
            <w:r>
              <w:rPr>
                <w:b/>
                <w:bCs/>
                <w:sz w:val="18"/>
                <w:szCs w:val="18"/>
              </w:rPr>
              <w:t>,</w:t>
            </w:r>
            <w:r w:rsidRPr="004C1B58">
              <w:rPr>
                <w:sz w:val="18"/>
                <w:szCs w:val="18"/>
              </w:rPr>
              <w:t xml:space="preserve"> </w:t>
            </w:r>
            <w:r w:rsidRPr="004C1B58">
              <w:rPr>
                <w:b/>
                <w:sz w:val="18"/>
                <w:szCs w:val="18"/>
              </w:rPr>
              <w:t>Education Officer,</w:t>
            </w:r>
            <w:r w:rsidRPr="004C1B58">
              <w:rPr>
                <w:sz w:val="18"/>
                <w:szCs w:val="18"/>
              </w:rPr>
              <w:t xml:space="preserve"> has a background </w:t>
            </w:r>
            <w:r>
              <w:rPr>
                <w:sz w:val="18"/>
                <w:szCs w:val="18"/>
              </w:rPr>
              <w:t>in medical physics and as a secondary teacher</w:t>
            </w:r>
            <w:r w:rsidRPr="004C1B58">
              <w:rPr>
                <w:sz w:val="18"/>
                <w:szCs w:val="18"/>
              </w:rPr>
              <w:t>. A recent membe</w:t>
            </w:r>
            <w:r>
              <w:rPr>
                <w:sz w:val="18"/>
                <w:szCs w:val="18"/>
              </w:rPr>
              <w:t>r of the ANSTO Education Team, Tina</w:t>
            </w:r>
            <w:r w:rsidRPr="004C1B58">
              <w:rPr>
                <w:sz w:val="18"/>
                <w:szCs w:val="18"/>
              </w:rPr>
              <w:t xml:space="preserve"> uses her </w:t>
            </w:r>
            <w:r>
              <w:rPr>
                <w:sz w:val="18"/>
                <w:szCs w:val="18"/>
              </w:rPr>
              <w:t>secondary</w:t>
            </w:r>
            <w:r w:rsidRPr="004C1B58">
              <w:rPr>
                <w:sz w:val="18"/>
                <w:szCs w:val="18"/>
              </w:rPr>
              <w:t xml:space="preserve"> expertise to assist the development of new education programs and professional developmen</w:t>
            </w:r>
            <w:r>
              <w:rPr>
                <w:sz w:val="18"/>
                <w:szCs w:val="18"/>
              </w:rPr>
              <w:t>t sessions for secondary teachers.</w:t>
            </w:r>
          </w:p>
        </w:tc>
      </w:tr>
    </w:tbl>
    <w:p w:rsidR="00040993" w:rsidRPr="007B0CD0" w:rsidRDefault="00040993" w:rsidP="00040993">
      <w:pPr>
        <w:rPr>
          <w:sz w:val="20"/>
        </w:rPr>
      </w:pPr>
    </w:p>
    <w:sectPr w:rsidR="00040993" w:rsidRPr="007B0CD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93" w:rsidRDefault="00040993" w:rsidP="00040993">
      <w:pPr>
        <w:spacing w:after="0" w:line="240" w:lineRule="auto"/>
      </w:pPr>
      <w:r>
        <w:separator/>
      </w:r>
    </w:p>
  </w:endnote>
  <w:endnote w:type="continuationSeparator" w:id="0">
    <w:p w:rsidR="00040993" w:rsidRDefault="00040993" w:rsidP="0004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93" w:rsidRDefault="00040993">
    <w:pPr>
      <w:pStyle w:val="Footer"/>
    </w:pPr>
    <w:r>
      <w:rPr>
        <w:noProof/>
        <w:lang w:eastAsia="en-AU"/>
      </w:rPr>
      <w:drawing>
        <wp:anchor distT="0" distB="0" distL="114300" distR="114300" simplePos="0" relativeHeight="251658240" behindDoc="0" locked="0" layoutInCell="1" allowOverlap="1">
          <wp:simplePos x="0" y="0"/>
          <wp:positionH relativeFrom="column">
            <wp:posOffset>4857750</wp:posOffset>
          </wp:positionH>
          <wp:positionV relativeFrom="paragraph">
            <wp:posOffset>-14605</wp:posOffset>
          </wp:positionV>
          <wp:extent cx="1235075" cy="409575"/>
          <wp:effectExtent l="0" t="0" r="3175" b="952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56275"/>
                  <a:stretch>
                    <a:fillRect/>
                  </a:stretch>
                </pic:blipFill>
                <pic:spPr bwMode="auto">
                  <a:xfrm>
                    <a:off x="0" y="0"/>
                    <a:ext cx="1235075" cy="409575"/>
                  </a:xfrm>
                  <a:prstGeom prst="rect">
                    <a:avLst/>
                  </a:prstGeom>
                </pic:spPr>
              </pic:pic>
            </a:graphicData>
          </a:graphic>
        </wp:anchor>
      </w:drawing>
    </w:r>
  </w:p>
  <w:p w:rsidR="00040993" w:rsidRDefault="00040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93" w:rsidRDefault="00040993" w:rsidP="00040993">
      <w:pPr>
        <w:spacing w:after="0" w:line="240" w:lineRule="auto"/>
      </w:pPr>
      <w:r>
        <w:separator/>
      </w:r>
    </w:p>
  </w:footnote>
  <w:footnote w:type="continuationSeparator" w:id="0">
    <w:p w:rsidR="00040993" w:rsidRDefault="00040993" w:rsidP="00040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D0"/>
    <w:rsid w:val="00040993"/>
    <w:rsid w:val="00121D44"/>
    <w:rsid w:val="0029189C"/>
    <w:rsid w:val="00494A58"/>
    <w:rsid w:val="004E1B2D"/>
    <w:rsid w:val="005B515F"/>
    <w:rsid w:val="007B0CD0"/>
    <w:rsid w:val="009E033D"/>
    <w:rsid w:val="00A0047E"/>
    <w:rsid w:val="00CD28DE"/>
    <w:rsid w:val="00F047C2"/>
    <w:rsid w:val="00F112FD"/>
    <w:rsid w:val="00FC42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DA1A"/>
  <w15:chartTrackingRefBased/>
  <w15:docId w15:val="{1C5C0B28-F8D0-4610-810C-FDC110CE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C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CD0"/>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993"/>
  </w:style>
  <w:style w:type="paragraph" w:styleId="Footer">
    <w:name w:val="footer"/>
    <w:basedOn w:val="Normal"/>
    <w:link w:val="FooterChar"/>
    <w:uiPriority w:val="99"/>
    <w:unhideWhenUsed/>
    <w:rsid w:val="0004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993"/>
  </w:style>
  <w:style w:type="paragraph" w:styleId="BodyText">
    <w:name w:val="Body Text"/>
    <w:basedOn w:val="Normal"/>
    <w:link w:val="BodyTextChar"/>
    <w:rsid w:val="00040993"/>
    <w:pPr>
      <w:spacing w:after="140" w:line="288" w:lineRule="auto"/>
    </w:pPr>
    <w:rPr>
      <w:rFonts w:ascii="Calibri" w:eastAsia="Calibri" w:hAnsi="Calibri"/>
      <w:color w:val="00000A"/>
    </w:rPr>
  </w:style>
  <w:style w:type="character" w:customStyle="1" w:styleId="BodyTextChar">
    <w:name w:val="Body Text Char"/>
    <w:basedOn w:val="DefaultParagraphFont"/>
    <w:link w:val="BodyText"/>
    <w:rsid w:val="00040993"/>
    <w:rPr>
      <w:rFonts w:ascii="Calibri" w:eastAsia="Calibri" w:hAnsi="Calibri"/>
      <w:color w:val="00000A"/>
    </w:rPr>
  </w:style>
  <w:style w:type="character" w:styleId="Hyperlink">
    <w:name w:val="Hyperlink"/>
    <w:basedOn w:val="DefaultParagraphFont"/>
    <w:uiPriority w:val="99"/>
    <w:unhideWhenUsed/>
    <w:rsid w:val="000409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9021">
      <w:bodyDiv w:val="1"/>
      <w:marLeft w:val="0"/>
      <w:marRight w:val="0"/>
      <w:marTop w:val="0"/>
      <w:marBottom w:val="0"/>
      <w:divBdr>
        <w:top w:val="none" w:sz="0" w:space="0" w:color="auto"/>
        <w:left w:val="none" w:sz="0" w:space="0" w:color="auto"/>
        <w:bottom w:val="none" w:sz="0" w:space="0" w:color="auto"/>
        <w:right w:val="none" w:sz="0" w:space="0" w:color="auto"/>
      </w:divBdr>
    </w:div>
    <w:div w:id="163016975">
      <w:bodyDiv w:val="1"/>
      <w:marLeft w:val="0"/>
      <w:marRight w:val="0"/>
      <w:marTop w:val="0"/>
      <w:marBottom w:val="0"/>
      <w:divBdr>
        <w:top w:val="none" w:sz="0" w:space="0" w:color="auto"/>
        <w:left w:val="none" w:sz="0" w:space="0" w:color="auto"/>
        <w:bottom w:val="none" w:sz="0" w:space="0" w:color="auto"/>
        <w:right w:val="none" w:sz="0" w:space="0" w:color="auto"/>
      </w:divBdr>
    </w:div>
    <w:div w:id="493960060">
      <w:bodyDiv w:val="1"/>
      <w:marLeft w:val="0"/>
      <w:marRight w:val="0"/>
      <w:marTop w:val="0"/>
      <w:marBottom w:val="0"/>
      <w:divBdr>
        <w:top w:val="none" w:sz="0" w:space="0" w:color="auto"/>
        <w:left w:val="none" w:sz="0" w:space="0" w:color="auto"/>
        <w:bottom w:val="none" w:sz="0" w:space="0" w:color="auto"/>
        <w:right w:val="none" w:sz="0" w:space="0" w:color="auto"/>
      </w:divBdr>
    </w:div>
    <w:div w:id="588662394">
      <w:bodyDiv w:val="1"/>
      <w:marLeft w:val="0"/>
      <w:marRight w:val="0"/>
      <w:marTop w:val="0"/>
      <w:marBottom w:val="0"/>
      <w:divBdr>
        <w:top w:val="none" w:sz="0" w:space="0" w:color="auto"/>
        <w:left w:val="none" w:sz="0" w:space="0" w:color="auto"/>
        <w:bottom w:val="none" w:sz="0" w:space="0" w:color="auto"/>
        <w:right w:val="none" w:sz="0" w:space="0" w:color="auto"/>
      </w:divBdr>
    </w:div>
    <w:div w:id="1175878236">
      <w:bodyDiv w:val="1"/>
      <w:marLeft w:val="0"/>
      <w:marRight w:val="0"/>
      <w:marTop w:val="0"/>
      <w:marBottom w:val="0"/>
      <w:divBdr>
        <w:top w:val="none" w:sz="0" w:space="0" w:color="auto"/>
        <w:left w:val="none" w:sz="0" w:space="0" w:color="auto"/>
        <w:bottom w:val="none" w:sz="0" w:space="0" w:color="auto"/>
        <w:right w:val="none" w:sz="0" w:space="0" w:color="auto"/>
      </w:divBdr>
    </w:div>
    <w:div w:id="12091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sto.gov.au/news/potential-true-theranostic-agent-for-cancer-produce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ansto.gov.au/news/collaboration-develops-innovative-cancer-diagnostic-agent" TargetMode="External"/><Relationship Id="rId4" Type="http://schemas.openxmlformats.org/officeDocument/2006/relationships/footnotes" Target="footnote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BARADARAN, Tina</dc:creator>
  <cp:keywords/>
  <dc:description/>
  <cp:lastModifiedBy>MURPHY, Bridget</cp:lastModifiedBy>
  <cp:revision>3</cp:revision>
  <dcterms:created xsi:type="dcterms:W3CDTF">2020-09-09T10:20:00Z</dcterms:created>
  <dcterms:modified xsi:type="dcterms:W3CDTF">2020-09-09T10:24:00Z</dcterms:modified>
</cp:coreProperties>
</file>